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35F3" w:rsidRDefault="00A435F3" w:rsidP="00A435F3">
      <w:pPr>
        <w:pStyle w:val="NormalWeb"/>
        <w:shd w:val="clear" w:color="auto" w:fill="FFFFFF"/>
        <w:rPr>
          <w:rFonts w:ascii="Open Sans" w:hAnsi="Open Sans" w:cs="Open Sans"/>
          <w:b/>
          <w:bCs/>
          <w:color w:val="212121"/>
          <w:spacing w:val="2"/>
          <w:sz w:val="21"/>
          <w:szCs w:val="21"/>
        </w:rPr>
      </w:pPr>
      <w:r>
        <w:rPr>
          <w:rFonts w:ascii="Open Sans" w:hAnsi="Open Sans" w:cs="Open Sans"/>
          <w:b/>
          <w:bCs/>
          <w:color w:val="212121"/>
          <w:spacing w:val="2"/>
          <w:sz w:val="21"/>
          <w:szCs w:val="21"/>
        </w:rPr>
        <w:t>Topic 1 DQ 2 Responses</w:t>
      </w:r>
    </w:p>
    <w:p w:rsidR="00A435F3" w:rsidRPr="00A435F3" w:rsidRDefault="00A435F3" w:rsidP="00A435F3">
      <w:pPr>
        <w:pStyle w:val="NormalWeb"/>
        <w:shd w:val="clear" w:color="auto" w:fill="FFFFFF"/>
        <w:rPr>
          <w:rFonts w:ascii="Open Sans" w:hAnsi="Open Sans" w:cs="Open Sans"/>
          <w:b/>
          <w:bCs/>
          <w:color w:val="212121"/>
          <w:spacing w:val="2"/>
          <w:sz w:val="21"/>
          <w:szCs w:val="21"/>
        </w:rPr>
      </w:pPr>
      <w:r w:rsidRPr="00A435F3">
        <w:rPr>
          <w:rFonts w:ascii="Open Sans" w:hAnsi="Open Sans" w:cs="Open Sans"/>
          <w:b/>
          <w:bCs/>
          <w:color w:val="212121"/>
          <w:spacing w:val="2"/>
          <w:sz w:val="21"/>
          <w:szCs w:val="21"/>
        </w:rPr>
        <w:t>Paige’s Discussion</w:t>
      </w:r>
    </w:p>
    <w:p w:rsidR="00A435F3" w:rsidRDefault="00A435F3" w:rsidP="00A435F3">
      <w:pPr>
        <w:pStyle w:val="NormalWeb"/>
        <w:shd w:val="clear" w:color="auto" w:fill="FFFFFF"/>
        <w:spacing w:line="276" w:lineRule="auto"/>
        <w:ind w:firstLine="720"/>
        <w:rPr>
          <w:rFonts w:ascii="Open Sans" w:hAnsi="Open Sans" w:cs="Open Sans"/>
          <w:color w:val="212121"/>
          <w:spacing w:val="2"/>
          <w:sz w:val="21"/>
          <w:szCs w:val="21"/>
        </w:rPr>
      </w:pPr>
      <w:r>
        <w:rPr>
          <w:rFonts w:ascii="Open Sans" w:hAnsi="Open Sans" w:cs="Open Sans"/>
          <w:color w:val="212121"/>
          <w:spacing w:val="2"/>
          <w:sz w:val="21"/>
          <w:szCs w:val="21"/>
        </w:rPr>
        <w:t xml:space="preserve">Medication administration errors and nurse burnout are two actionable clinical practice problems that warrant nursing practice change because both directly threaten patient safety and are driven largely by system-level factors. Medication administration errors (MAEs) remain a persistent patient-safety concern: nurses administer the majority of medications at the bedside, and qualitative evidence indicates that MAEs are multifactorial, rooted in knowledge gaps, fatigue, heavy workloads, and frequent interruptions, suggesting that interventions must address workflow and system design rather than only individual blame (Schroers, Ross, &amp; Moriarty, 2021). Because MAEs most often occur during the administration phase, targeted practice changes such as establishing protected “no-interruption” medication zones and times, strengthening barcode </w:t>
      </w:r>
      <w:proofErr w:type="spellStart"/>
      <w:r>
        <w:rPr>
          <w:rFonts w:ascii="Open Sans" w:hAnsi="Open Sans" w:cs="Open Sans"/>
          <w:color w:val="212121"/>
          <w:spacing w:val="2"/>
          <w:sz w:val="21"/>
          <w:szCs w:val="21"/>
        </w:rPr>
        <w:t>eMAR</w:t>
      </w:r>
      <w:proofErr w:type="spellEnd"/>
      <w:r>
        <w:rPr>
          <w:rFonts w:ascii="Open Sans" w:hAnsi="Open Sans" w:cs="Open Sans"/>
          <w:color w:val="212121"/>
          <w:spacing w:val="2"/>
          <w:sz w:val="21"/>
          <w:szCs w:val="21"/>
        </w:rPr>
        <w:t xml:space="preserve"> verification, and focused competency refreshers for high</w:t>
      </w:r>
      <w:r>
        <w:rPr>
          <w:rFonts w:ascii="Open Sans" w:hAnsi="Open Sans" w:cs="Open Sans"/>
          <w:color w:val="212121"/>
          <w:spacing w:val="2"/>
          <w:sz w:val="21"/>
          <w:szCs w:val="21"/>
        </w:rPr>
        <w:noBreakHyphen/>
        <w:t>risk drugs are likely to reduce error rates by modifying the contextual contributors identified by frontline nurses (Schroers et al., 2021). Nurse burnout and fatigue constitute a second critical clinical issue because burnout is consistently associated with worse patient-safety and organizational outcomes, including lower quality of care, reduced patient satisfaction, and increased adverse events (Jun et al., 2021). Framing burnout as an organizational problem highlights opportunities for practice change at the unit and system level—examples include optimizing shift scheduling to limit excessive consecutive hours, protecting break times, implementing real</w:t>
      </w:r>
      <w:r>
        <w:rPr>
          <w:rFonts w:ascii="Open Sans" w:hAnsi="Open Sans" w:cs="Open Sans"/>
          <w:color w:val="212121"/>
          <w:spacing w:val="2"/>
          <w:sz w:val="21"/>
          <w:szCs w:val="21"/>
        </w:rPr>
        <w:noBreakHyphen/>
        <w:t>time staffing huddles to rebalance workload, and offering structured peer</w:t>
      </w:r>
      <w:r>
        <w:rPr>
          <w:rFonts w:ascii="Open Sans" w:hAnsi="Open Sans" w:cs="Open Sans"/>
          <w:color w:val="212121"/>
          <w:spacing w:val="2"/>
          <w:sz w:val="21"/>
          <w:szCs w:val="21"/>
        </w:rPr>
        <w:noBreakHyphen/>
        <w:t>support/debriefing programs; these changes aim to improve nurses’ cognitive functioning and situational awareness, which in turn should improve patient outcomes (Jun et al., 2021).</w:t>
      </w:r>
    </w:p>
    <w:p w:rsidR="00A435F3" w:rsidRDefault="00A435F3" w:rsidP="00A435F3">
      <w:pPr>
        <w:pStyle w:val="NormalWeb"/>
        <w:shd w:val="clear" w:color="auto" w:fill="FFFFFF"/>
        <w:spacing w:line="276" w:lineRule="auto"/>
        <w:rPr>
          <w:rFonts w:ascii="Open Sans" w:hAnsi="Open Sans" w:cs="Open Sans"/>
          <w:color w:val="212121"/>
          <w:spacing w:val="2"/>
          <w:sz w:val="21"/>
          <w:szCs w:val="21"/>
        </w:rPr>
      </w:pPr>
      <w:r>
        <w:rPr>
          <w:rFonts w:ascii="Open Sans" w:hAnsi="Open Sans" w:cs="Open Sans"/>
          <w:color w:val="212121"/>
          <w:spacing w:val="2"/>
          <w:sz w:val="21"/>
          <w:szCs w:val="21"/>
        </w:rPr>
        <w:t xml:space="preserve">Jun, J., </w:t>
      </w:r>
      <w:proofErr w:type="spellStart"/>
      <w:r>
        <w:rPr>
          <w:rFonts w:ascii="Open Sans" w:hAnsi="Open Sans" w:cs="Open Sans"/>
          <w:color w:val="212121"/>
          <w:spacing w:val="2"/>
          <w:sz w:val="21"/>
          <w:szCs w:val="21"/>
        </w:rPr>
        <w:t>Ojemeni</w:t>
      </w:r>
      <w:proofErr w:type="spellEnd"/>
      <w:r>
        <w:rPr>
          <w:rFonts w:ascii="Open Sans" w:hAnsi="Open Sans" w:cs="Open Sans"/>
          <w:color w:val="212121"/>
          <w:spacing w:val="2"/>
          <w:sz w:val="21"/>
          <w:szCs w:val="21"/>
        </w:rPr>
        <w:t xml:space="preserve">, M. M., </w:t>
      </w:r>
      <w:proofErr w:type="spellStart"/>
      <w:r>
        <w:rPr>
          <w:rFonts w:ascii="Open Sans" w:hAnsi="Open Sans" w:cs="Open Sans"/>
          <w:color w:val="212121"/>
          <w:spacing w:val="2"/>
          <w:sz w:val="21"/>
          <w:szCs w:val="21"/>
        </w:rPr>
        <w:t>Kalamani</w:t>
      </w:r>
      <w:proofErr w:type="spellEnd"/>
      <w:r>
        <w:rPr>
          <w:rFonts w:ascii="Open Sans" w:hAnsi="Open Sans" w:cs="Open Sans"/>
          <w:color w:val="212121"/>
          <w:spacing w:val="2"/>
          <w:sz w:val="21"/>
          <w:szCs w:val="21"/>
        </w:rPr>
        <w:t xml:space="preserve">, R., Tong, J., &amp; </w:t>
      </w:r>
      <w:proofErr w:type="spellStart"/>
      <w:r>
        <w:rPr>
          <w:rFonts w:ascii="Open Sans" w:hAnsi="Open Sans" w:cs="Open Sans"/>
          <w:color w:val="212121"/>
          <w:spacing w:val="2"/>
          <w:sz w:val="21"/>
          <w:szCs w:val="21"/>
        </w:rPr>
        <w:t>Crecelius</w:t>
      </w:r>
      <w:proofErr w:type="spellEnd"/>
      <w:r>
        <w:rPr>
          <w:rFonts w:ascii="Open Sans" w:hAnsi="Open Sans" w:cs="Open Sans"/>
          <w:color w:val="212121"/>
          <w:spacing w:val="2"/>
          <w:sz w:val="21"/>
          <w:szCs w:val="21"/>
        </w:rPr>
        <w:t>, M. L. (2021). Relationship between nurse burnout, patient and organizational outcomes: Systematic review. </w:t>
      </w:r>
      <w:r>
        <w:rPr>
          <w:rStyle w:val="Emphasis"/>
          <w:rFonts w:ascii="inherit" w:hAnsi="inherit" w:cs="Open Sans"/>
          <w:color w:val="212121"/>
          <w:spacing w:val="2"/>
          <w:sz w:val="21"/>
          <w:szCs w:val="21"/>
          <w:bdr w:val="none" w:sz="0" w:space="0" w:color="auto" w:frame="1"/>
        </w:rPr>
        <w:t>International Journal of Nursing Studies, 119</w:t>
      </w:r>
      <w:r>
        <w:rPr>
          <w:rFonts w:ascii="Open Sans" w:hAnsi="Open Sans" w:cs="Open Sans"/>
          <w:color w:val="212121"/>
          <w:spacing w:val="2"/>
          <w:sz w:val="21"/>
          <w:szCs w:val="21"/>
        </w:rPr>
        <w:t>, 103933. </w:t>
      </w:r>
      <w:r>
        <w:rPr>
          <w:rStyle w:val="HTMLCode"/>
          <w:color w:val="212121"/>
          <w:spacing w:val="2"/>
          <w:bdr w:val="none" w:sz="0" w:space="0" w:color="auto" w:frame="1"/>
          <w:shd w:val="clear" w:color="auto" w:fill="CCCCCC"/>
        </w:rPr>
        <w:t>https://doi.org/10.1016/j.ijnurstu.2021.103933</w:t>
      </w:r>
      <w:r>
        <w:rPr>
          <w:rFonts w:ascii="Open Sans" w:hAnsi="Open Sans" w:cs="Open Sans"/>
          <w:color w:val="212121"/>
          <w:spacing w:val="2"/>
          <w:sz w:val="21"/>
          <w:szCs w:val="21"/>
        </w:rPr>
        <w:t> [(</w:t>
      </w:r>
      <w:hyperlink r:id="rId4" w:tgtFrame="_blank" w:history="1">
        <w:r>
          <w:rPr>
            <w:rStyle w:val="Hyperlink"/>
            <w:rFonts w:ascii="inherit" w:hAnsi="inherit" w:cs="Open Sans"/>
            <w:color w:val="1A65B0"/>
            <w:spacing w:val="2"/>
            <w:sz w:val="21"/>
            <w:szCs w:val="21"/>
            <w:bdr w:val="none" w:sz="0" w:space="0" w:color="auto" w:frame="1"/>
          </w:rPr>
          <w:t>doi.org</w:t>
        </w:r>
      </w:hyperlink>
      <w:r>
        <w:rPr>
          <w:rFonts w:ascii="Open Sans" w:hAnsi="Open Sans" w:cs="Open Sans"/>
          <w:color w:val="212121"/>
          <w:spacing w:val="2"/>
          <w:sz w:val="21"/>
          <w:szCs w:val="21"/>
        </w:rPr>
        <w:t> in Bing)](</w:t>
      </w:r>
      <w:hyperlink r:id="rId5" w:tgtFrame="_blank" w:history="1">
        <w:r>
          <w:rPr>
            <w:rStyle w:val="Hyperlink"/>
            <w:rFonts w:ascii="inherit" w:hAnsi="inherit" w:cs="Open Sans"/>
            <w:color w:val="1A65B0"/>
            <w:spacing w:val="2"/>
            <w:sz w:val="21"/>
            <w:szCs w:val="21"/>
            <w:bdr w:val="none" w:sz="0" w:space="0" w:color="auto" w:frame="1"/>
          </w:rPr>
          <w:t>https://www.bing.com/search?q="https%3A%2F%2Fdoi.org%2F10.1016%2Fj.ijnurstu.2021.103933</w:t>
        </w:r>
      </w:hyperlink>
      <w:r>
        <w:rPr>
          <w:rFonts w:ascii="Open Sans" w:hAnsi="Open Sans" w:cs="Open Sans"/>
          <w:color w:val="212121"/>
          <w:spacing w:val="2"/>
          <w:sz w:val="21"/>
          <w:szCs w:val="21"/>
        </w:rPr>
        <w:t>")</w:t>
      </w:r>
    </w:p>
    <w:p w:rsidR="00A435F3" w:rsidRDefault="00A435F3" w:rsidP="00A435F3">
      <w:pPr>
        <w:pStyle w:val="NormalWeb"/>
        <w:shd w:val="clear" w:color="auto" w:fill="FFFFFF"/>
        <w:spacing w:line="276" w:lineRule="auto"/>
        <w:rPr>
          <w:rFonts w:ascii="Open Sans" w:hAnsi="Open Sans" w:cs="Open Sans"/>
          <w:color w:val="212121"/>
          <w:spacing w:val="2"/>
          <w:sz w:val="21"/>
          <w:szCs w:val="21"/>
        </w:rPr>
      </w:pPr>
      <w:r>
        <w:rPr>
          <w:rFonts w:ascii="Open Sans" w:hAnsi="Open Sans" w:cs="Open Sans"/>
          <w:color w:val="212121"/>
          <w:spacing w:val="2"/>
          <w:sz w:val="21"/>
          <w:szCs w:val="21"/>
        </w:rPr>
        <w:t>Schroers, G., Ross, J. G., &amp; Moriarty, H. (2021). Nurses’ perceived causes of medication administration errors: A qualitative systematic review. </w:t>
      </w:r>
      <w:r>
        <w:rPr>
          <w:rStyle w:val="Emphasis"/>
          <w:rFonts w:ascii="inherit" w:hAnsi="inherit" w:cs="Open Sans"/>
          <w:color w:val="212121"/>
          <w:spacing w:val="2"/>
          <w:sz w:val="21"/>
          <w:szCs w:val="21"/>
          <w:bdr w:val="none" w:sz="0" w:space="0" w:color="auto" w:frame="1"/>
        </w:rPr>
        <w:t>The Joint Commission Journal on Quality and Patient Safety, 47</w:t>
      </w:r>
      <w:r>
        <w:rPr>
          <w:rFonts w:ascii="Open Sans" w:hAnsi="Open Sans" w:cs="Open Sans"/>
          <w:color w:val="212121"/>
          <w:spacing w:val="2"/>
          <w:sz w:val="21"/>
          <w:szCs w:val="21"/>
        </w:rPr>
        <w:t>(1), 38–53. [</w:t>
      </w:r>
      <w:hyperlink r:id="rId6" w:tgtFrame="_blank" w:history="1">
        <w:r>
          <w:rPr>
            <w:rStyle w:val="Hyperlink"/>
            <w:rFonts w:ascii="inherit" w:hAnsi="inherit" w:cs="Open Sans"/>
            <w:color w:val="1A65B0"/>
            <w:spacing w:val="2"/>
            <w:sz w:val="21"/>
            <w:szCs w:val="21"/>
            <w:bdr w:val="none" w:sz="0" w:space="0" w:color="auto" w:frame="1"/>
          </w:rPr>
          <w:t>https://doi.org/10.1016/j.jcjq.2020.09.010](https://doi.org/10.1016/j.jcjq.2020.09.010)</w:t>
        </w:r>
      </w:hyperlink>
    </w:p>
    <w:p w:rsidR="00A435F3" w:rsidRDefault="00A435F3" w:rsidP="00A435F3">
      <w:pPr>
        <w:pStyle w:val="NormalWeb"/>
        <w:shd w:val="clear" w:color="auto" w:fill="FFFFFF"/>
        <w:spacing w:line="276" w:lineRule="auto"/>
        <w:rPr>
          <w:rFonts w:ascii="Open Sans" w:hAnsi="Open Sans" w:cs="Open Sans"/>
          <w:color w:val="212121"/>
          <w:spacing w:val="2"/>
          <w:sz w:val="21"/>
          <w:szCs w:val="21"/>
        </w:rPr>
      </w:pPr>
    </w:p>
    <w:p w:rsidR="00A435F3" w:rsidRDefault="00A435F3" w:rsidP="00A435F3">
      <w:pPr>
        <w:pStyle w:val="NormalWeb"/>
        <w:shd w:val="clear" w:color="auto" w:fill="FFFFFF"/>
        <w:spacing w:before="0" w:after="0" w:line="360" w:lineRule="atLeast"/>
        <w:rPr>
          <w:rStyle w:val="Strong"/>
          <w:rFonts w:ascii="Helvetica" w:hAnsi="Helvetica" w:cstheme="minorHAnsi"/>
          <w:color w:val="212121"/>
          <w:spacing w:val="2"/>
          <w:bdr w:val="none" w:sz="0" w:space="0" w:color="auto" w:frame="1"/>
        </w:rPr>
      </w:pPr>
      <w:r>
        <w:rPr>
          <w:rStyle w:val="Strong"/>
          <w:rFonts w:ascii="Helvetica" w:hAnsi="Helvetica" w:cstheme="minorHAnsi"/>
          <w:color w:val="212121"/>
          <w:spacing w:val="2"/>
          <w:bdr w:val="none" w:sz="0" w:space="0" w:color="auto" w:frame="1"/>
        </w:rPr>
        <w:lastRenderedPageBreak/>
        <w:t>Jeanne Discussion</w:t>
      </w:r>
    </w:p>
    <w:p w:rsidR="00A435F3" w:rsidRPr="00A435F3" w:rsidRDefault="00A435F3" w:rsidP="00A435F3">
      <w:pPr>
        <w:pStyle w:val="NormalWeb"/>
        <w:shd w:val="clear" w:color="auto" w:fill="FFFFFF"/>
        <w:spacing w:before="0" w:after="0" w:line="360" w:lineRule="atLeast"/>
        <w:rPr>
          <w:rFonts w:ascii="Helvetica" w:hAnsi="Helvetica" w:cstheme="minorHAnsi"/>
          <w:color w:val="212121"/>
          <w:spacing w:val="2"/>
        </w:rPr>
      </w:pPr>
      <w:r w:rsidRPr="00A435F3">
        <w:rPr>
          <w:rStyle w:val="Strong"/>
          <w:rFonts w:ascii="Helvetica" w:hAnsi="Helvetica" w:cstheme="minorHAnsi"/>
          <w:color w:val="212121"/>
          <w:spacing w:val="2"/>
          <w:bdr w:val="none" w:sz="0" w:space="0" w:color="auto" w:frame="1"/>
        </w:rPr>
        <w:t>Potential Nursing Practice Change Topics</w:t>
      </w:r>
    </w:p>
    <w:p w:rsidR="00A435F3" w:rsidRPr="00A435F3" w:rsidRDefault="00A435F3" w:rsidP="00A435F3">
      <w:pPr>
        <w:pStyle w:val="NormalWeb"/>
        <w:shd w:val="clear" w:color="auto" w:fill="FFFFFF"/>
        <w:spacing w:before="0" w:beforeAutospacing="0" w:after="0" w:afterAutospacing="0" w:line="276" w:lineRule="auto"/>
        <w:ind w:firstLine="720"/>
        <w:rPr>
          <w:rFonts w:ascii="Helvetica" w:hAnsi="Helvetica" w:cstheme="minorHAnsi"/>
          <w:color w:val="212121"/>
          <w:spacing w:val="2"/>
        </w:rPr>
      </w:pPr>
      <w:r w:rsidRPr="00A435F3">
        <w:rPr>
          <w:rFonts w:ascii="Helvetica" w:hAnsi="Helvetica" w:cstheme="minorHAnsi"/>
          <w:color w:val="212121"/>
          <w:spacing w:val="2"/>
          <w:bdr w:val="none" w:sz="0" w:space="0" w:color="auto" w:frame="1"/>
        </w:rPr>
        <w:t>Several clinical practice issues could be developed into nursing practice change initiatives. One significant issue is high 30-day hospital readmission rates among patients with chronic conditions such as heart failure, diabetes, and chronic obstructive pulmonary disease (COPD). Readmissions are considered a clinical problem because they increase healthcare costs, negatively affect patient outcomes, and may indicate gaps in discharge planning and follow-up care. Research suggests that structured transitional care programs, patient education, and follow-up communication can significantly reduce readmission rates (</w:t>
      </w:r>
      <w:proofErr w:type="spellStart"/>
      <w:r w:rsidRPr="00A435F3">
        <w:rPr>
          <w:rFonts w:ascii="Helvetica" w:hAnsi="Helvetica" w:cstheme="minorHAnsi"/>
          <w:color w:val="212121"/>
          <w:spacing w:val="2"/>
          <w:bdr w:val="none" w:sz="0" w:space="0" w:color="auto" w:frame="1"/>
        </w:rPr>
        <w:t>Leppin</w:t>
      </w:r>
      <w:proofErr w:type="spellEnd"/>
      <w:r w:rsidRPr="00A435F3">
        <w:rPr>
          <w:rFonts w:ascii="Helvetica" w:hAnsi="Helvetica" w:cstheme="minorHAnsi"/>
          <w:color w:val="212121"/>
          <w:spacing w:val="2"/>
          <w:bdr w:val="none" w:sz="0" w:space="0" w:color="auto" w:frame="1"/>
        </w:rPr>
        <w:t xml:space="preserve"> et al., 2014).</w:t>
      </w:r>
    </w:p>
    <w:p w:rsidR="00A435F3" w:rsidRPr="00A435F3" w:rsidRDefault="00A435F3" w:rsidP="00A435F3">
      <w:pPr>
        <w:pStyle w:val="NormalWeb"/>
        <w:shd w:val="clear" w:color="auto" w:fill="FFFFFF"/>
        <w:spacing w:before="0" w:beforeAutospacing="0" w:after="0" w:afterAutospacing="0" w:line="276" w:lineRule="auto"/>
        <w:ind w:firstLine="720"/>
        <w:rPr>
          <w:rFonts w:ascii="Helvetica" w:hAnsi="Helvetica" w:cstheme="minorHAnsi"/>
          <w:color w:val="212121"/>
          <w:spacing w:val="2"/>
        </w:rPr>
      </w:pPr>
      <w:r w:rsidRPr="00A435F3">
        <w:rPr>
          <w:rFonts w:ascii="Helvetica" w:hAnsi="Helvetica" w:cstheme="minorHAnsi"/>
          <w:color w:val="212121"/>
          <w:spacing w:val="2"/>
          <w:bdr w:val="none" w:sz="0" w:space="0" w:color="auto" w:frame="1"/>
        </w:rPr>
        <w:t>A second clinical practice issue is medication administration errors. Medication errors remain a leading patient safety concern and can result in adverse drug events, prolonged hospitalizations, and increased healthcare expenses. Factors contributing to medication errors include interruptions during medication administration, staffing shortages, and communication failures. Evidence supports implementing standardized medication administration processes and technology-based solutions to improve patient safety (Manias et al., 2020).</w:t>
      </w:r>
    </w:p>
    <w:p w:rsidR="00A435F3" w:rsidRPr="00A435F3" w:rsidRDefault="00A435F3" w:rsidP="00A435F3">
      <w:pPr>
        <w:pStyle w:val="NormalWeb"/>
        <w:shd w:val="clear" w:color="auto" w:fill="FFFFFF"/>
        <w:spacing w:before="0" w:beforeAutospacing="0" w:after="0" w:afterAutospacing="0" w:line="276" w:lineRule="auto"/>
        <w:ind w:firstLine="720"/>
        <w:rPr>
          <w:rFonts w:ascii="Helvetica" w:hAnsi="Helvetica" w:cstheme="minorHAnsi"/>
          <w:color w:val="212121"/>
          <w:spacing w:val="2"/>
        </w:rPr>
      </w:pPr>
      <w:r w:rsidRPr="00A435F3">
        <w:rPr>
          <w:rFonts w:ascii="Helvetica" w:hAnsi="Helvetica" w:cstheme="minorHAnsi"/>
          <w:color w:val="212121"/>
          <w:spacing w:val="2"/>
          <w:bdr w:val="none" w:sz="0" w:space="0" w:color="auto" w:frame="1"/>
        </w:rPr>
        <w:t>A third issue is the prevention of patient falls in healthcare settings. Falls can lead to serious injuries, extended hospital stays, and decreased quality of life. Despite existing prevention programs, falls continue to occur frequently among hospitalized and long-term care patients. Evidence indicates that individualized fall-risk assessments and multifactorial prevention interventions can reduce fall rates and improve patient outcomes (Dykes et al., 2020).</w:t>
      </w:r>
    </w:p>
    <w:p w:rsidR="00A435F3" w:rsidRDefault="00A435F3" w:rsidP="00A435F3">
      <w:pPr>
        <w:pStyle w:val="NormalWeb"/>
        <w:shd w:val="clear" w:color="auto" w:fill="FFFFFF"/>
        <w:spacing w:before="0" w:beforeAutospacing="0" w:after="0" w:afterAutospacing="0" w:line="276" w:lineRule="auto"/>
        <w:ind w:firstLine="720"/>
        <w:rPr>
          <w:rFonts w:ascii="Helvetica" w:hAnsi="Helvetica" w:cstheme="minorHAnsi"/>
          <w:color w:val="212121"/>
          <w:spacing w:val="2"/>
          <w:bdr w:val="none" w:sz="0" w:space="0" w:color="auto" w:frame="1"/>
        </w:rPr>
      </w:pPr>
      <w:r w:rsidRPr="00A435F3">
        <w:rPr>
          <w:rFonts w:ascii="Helvetica" w:hAnsi="Helvetica" w:cstheme="minorHAnsi"/>
          <w:color w:val="212121"/>
          <w:spacing w:val="2"/>
          <w:bdr w:val="none" w:sz="0" w:space="0" w:color="auto" w:frame="1"/>
        </w:rPr>
        <w:t>Of these topics, reducing hospital readmissions through improved transitional care is particularly relevant to nursing practice because nurses play a critical role in discharge education, care coordination, and follow-up support. Implementing evidence-based interventions in this area has the potential to improve patient outcomes while reducing healthcare costs.</w:t>
      </w:r>
    </w:p>
    <w:p w:rsidR="00A435F3" w:rsidRPr="00A435F3" w:rsidRDefault="00A435F3" w:rsidP="00A435F3">
      <w:pPr>
        <w:pStyle w:val="NormalWeb"/>
        <w:shd w:val="clear" w:color="auto" w:fill="FFFFFF"/>
        <w:spacing w:before="0" w:beforeAutospacing="0" w:after="0" w:afterAutospacing="0"/>
        <w:rPr>
          <w:rFonts w:ascii="Helvetica" w:hAnsi="Helvetica" w:cstheme="minorHAnsi"/>
          <w:color w:val="212121"/>
          <w:spacing w:val="2"/>
        </w:rPr>
      </w:pPr>
    </w:p>
    <w:p w:rsidR="00A435F3" w:rsidRPr="00A435F3" w:rsidRDefault="00A435F3" w:rsidP="00A435F3">
      <w:pPr>
        <w:pStyle w:val="NormalWeb"/>
        <w:shd w:val="clear" w:color="auto" w:fill="FFFFFF"/>
        <w:spacing w:before="0" w:beforeAutospacing="0" w:after="0" w:afterAutospacing="0"/>
        <w:rPr>
          <w:rFonts w:ascii="Helvetica" w:hAnsi="Helvetica" w:cstheme="minorHAnsi"/>
          <w:color w:val="212121"/>
          <w:spacing w:val="2"/>
        </w:rPr>
      </w:pPr>
      <w:r w:rsidRPr="00A435F3">
        <w:rPr>
          <w:rStyle w:val="Strong"/>
          <w:rFonts w:ascii="Helvetica" w:hAnsi="Helvetica" w:cstheme="minorHAnsi"/>
          <w:color w:val="212121"/>
          <w:spacing w:val="2"/>
          <w:bdr w:val="none" w:sz="0" w:space="0" w:color="auto" w:frame="1"/>
        </w:rPr>
        <w:t>References</w:t>
      </w:r>
    </w:p>
    <w:p w:rsidR="00A435F3" w:rsidRPr="00A435F3" w:rsidRDefault="00A435F3" w:rsidP="00A435F3">
      <w:pPr>
        <w:pStyle w:val="NormalWeb"/>
        <w:shd w:val="clear" w:color="auto" w:fill="FFFFFF"/>
        <w:spacing w:before="0" w:beforeAutospacing="0" w:after="0" w:afterAutospacing="0"/>
        <w:rPr>
          <w:rFonts w:ascii="Helvetica" w:hAnsi="Helvetica" w:cstheme="minorHAnsi"/>
          <w:color w:val="212121"/>
          <w:spacing w:val="2"/>
        </w:rPr>
      </w:pPr>
      <w:r w:rsidRPr="00A435F3">
        <w:rPr>
          <w:rFonts w:ascii="Helvetica" w:hAnsi="Helvetica" w:cstheme="minorHAnsi"/>
          <w:color w:val="212121"/>
          <w:spacing w:val="2"/>
          <w:bdr w:val="none" w:sz="0" w:space="0" w:color="auto" w:frame="1"/>
        </w:rPr>
        <w:t xml:space="preserve">Dykes, P. C., Burns, Z., </w:t>
      </w:r>
      <w:proofErr w:type="spellStart"/>
      <w:r w:rsidRPr="00A435F3">
        <w:rPr>
          <w:rFonts w:ascii="Helvetica" w:hAnsi="Helvetica" w:cstheme="minorHAnsi"/>
          <w:color w:val="212121"/>
          <w:spacing w:val="2"/>
          <w:bdr w:val="none" w:sz="0" w:space="0" w:color="auto" w:frame="1"/>
        </w:rPr>
        <w:t>Adkison</w:t>
      </w:r>
      <w:proofErr w:type="spellEnd"/>
      <w:r w:rsidRPr="00A435F3">
        <w:rPr>
          <w:rFonts w:ascii="Helvetica" w:hAnsi="Helvetica" w:cstheme="minorHAnsi"/>
          <w:color w:val="212121"/>
          <w:spacing w:val="2"/>
          <w:bdr w:val="none" w:sz="0" w:space="0" w:color="auto" w:frame="1"/>
        </w:rPr>
        <w:t>, J., et al. (2020). Evaluation of a patient-centered fall-prevention tool kit to reduce falls and injuries. </w:t>
      </w:r>
      <w:r w:rsidRPr="00A435F3">
        <w:rPr>
          <w:rStyle w:val="Emphasis"/>
          <w:rFonts w:ascii="Helvetica" w:hAnsi="Helvetica" w:cstheme="minorHAnsi"/>
          <w:color w:val="212121"/>
          <w:spacing w:val="2"/>
          <w:bdr w:val="none" w:sz="0" w:space="0" w:color="auto" w:frame="1"/>
        </w:rPr>
        <w:t>JAMA Network Open, 3</w:t>
      </w:r>
      <w:r w:rsidRPr="00A435F3">
        <w:rPr>
          <w:rFonts w:ascii="Helvetica" w:hAnsi="Helvetica" w:cstheme="minorHAnsi"/>
          <w:color w:val="212121"/>
          <w:spacing w:val="2"/>
          <w:bdr w:val="none" w:sz="0" w:space="0" w:color="auto" w:frame="1"/>
        </w:rPr>
        <w:t>(11), e2025889. </w:t>
      </w:r>
      <w:hyperlink r:id="rId7" w:tgtFrame="_blank" w:history="1">
        <w:r w:rsidRPr="00A435F3">
          <w:rPr>
            <w:rStyle w:val="Hyperlink"/>
            <w:rFonts w:ascii="Helvetica" w:hAnsi="Helvetica" w:cstheme="minorHAnsi"/>
            <w:color w:val="1A65B0"/>
            <w:spacing w:val="2"/>
            <w:bdr w:val="none" w:sz="0" w:space="0" w:color="auto" w:frame="1"/>
          </w:rPr>
          <w:t>https://doi.org/10.1001/jamanetworkopen.2020.25889</w:t>
        </w:r>
      </w:hyperlink>
    </w:p>
    <w:p w:rsidR="00A435F3" w:rsidRPr="00A435F3" w:rsidRDefault="00A435F3" w:rsidP="00A435F3">
      <w:pPr>
        <w:pStyle w:val="NormalWeb"/>
        <w:shd w:val="clear" w:color="auto" w:fill="FFFFFF"/>
        <w:spacing w:before="0" w:beforeAutospacing="0" w:after="0" w:afterAutospacing="0"/>
        <w:rPr>
          <w:rFonts w:ascii="Helvetica" w:hAnsi="Helvetica" w:cstheme="minorHAnsi"/>
          <w:color w:val="212121"/>
          <w:spacing w:val="2"/>
        </w:rPr>
      </w:pPr>
      <w:proofErr w:type="spellStart"/>
      <w:r w:rsidRPr="00A435F3">
        <w:rPr>
          <w:rFonts w:ascii="Helvetica" w:hAnsi="Helvetica" w:cstheme="minorHAnsi"/>
          <w:color w:val="212121"/>
          <w:spacing w:val="2"/>
          <w:bdr w:val="none" w:sz="0" w:space="0" w:color="auto" w:frame="1"/>
        </w:rPr>
        <w:t>Leppin</w:t>
      </w:r>
      <w:proofErr w:type="spellEnd"/>
      <w:r w:rsidRPr="00A435F3">
        <w:rPr>
          <w:rFonts w:ascii="Helvetica" w:hAnsi="Helvetica" w:cstheme="minorHAnsi"/>
          <w:color w:val="212121"/>
          <w:spacing w:val="2"/>
          <w:bdr w:val="none" w:sz="0" w:space="0" w:color="auto" w:frame="1"/>
        </w:rPr>
        <w:t xml:space="preserve">, A. L., </w:t>
      </w:r>
      <w:proofErr w:type="spellStart"/>
      <w:r w:rsidRPr="00A435F3">
        <w:rPr>
          <w:rFonts w:ascii="Helvetica" w:hAnsi="Helvetica" w:cstheme="minorHAnsi"/>
          <w:color w:val="212121"/>
          <w:spacing w:val="2"/>
          <w:bdr w:val="none" w:sz="0" w:space="0" w:color="auto" w:frame="1"/>
        </w:rPr>
        <w:t>Gionfriddo</w:t>
      </w:r>
      <w:proofErr w:type="spellEnd"/>
      <w:r w:rsidRPr="00A435F3">
        <w:rPr>
          <w:rFonts w:ascii="Helvetica" w:hAnsi="Helvetica" w:cstheme="minorHAnsi"/>
          <w:color w:val="212121"/>
          <w:spacing w:val="2"/>
          <w:bdr w:val="none" w:sz="0" w:space="0" w:color="auto" w:frame="1"/>
        </w:rPr>
        <w:t>, M. R., Kessler, M., et al. (2014). Preventing 30-day hospital readmissions: A systematic review and meta-analysis of randomized trials. </w:t>
      </w:r>
      <w:r w:rsidRPr="00A435F3">
        <w:rPr>
          <w:rStyle w:val="Emphasis"/>
          <w:rFonts w:ascii="Helvetica" w:hAnsi="Helvetica" w:cstheme="minorHAnsi"/>
          <w:color w:val="212121"/>
          <w:spacing w:val="2"/>
          <w:bdr w:val="none" w:sz="0" w:space="0" w:color="auto" w:frame="1"/>
        </w:rPr>
        <w:t>JAMA Internal Medicine, 174</w:t>
      </w:r>
      <w:r w:rsidRPr="00A435F3">
        <w:rPr>
          <w:rFonts w:ascii="Helvetica" w:hAnsi="Helvetica" w:cstheme="minorHAnsi"/>
          <w:color w:val="212121"/>
          <w:spacing w:val="2"/>
          <w:bdr w:val="none" w:sz="0" w:space="0" w:color="auto" w:frame="1"/>
        </w:rPr>
        <w:t>(7), 1095–1107. </w:t>
      </w:r>
      <w:hyperlink r:id="rId8" w:tgtFrame="_blank" w:history="1">
        <w:r w:rsidRPr="00A435F3">
          <w:rPr>
            <w:rStyle w:val="Hyperlink"/>
            <w:rFonts w:ascii="Helvetica" w:hAnsi="Helvetica" w:cstheme="minorHAnsi"/>
            <w:color w:val="1A65B0"/>
            <w:spacing w:val="2"/>
            <w:bdr w:val="none" w:sz="0" w:space="0" w:color="auto" w:frame="1"/>
          </w:rPr>
          <w:t>https://doi.org/10.1001/jamainternmed.2014.1608</w:t>
        </w:r>
      </w:hyperlink>
    </w:p>
    <w:p w:rsidR="00A435F3" w:rsidRPr="00A435F3" w:rsidRDefault="00A435F3" w:rsidP="00A435F3">
      <w:pPr>
        <w:pStyle w:val="NormalWeb"/>
        <w:shd w:val="clear" w:color="auto" w:fill="FFFFFF"/>
        <w:spacing w:before="0" w:beforeAutospacing="0" w:after="0" w:afterAutospacing="0"/>
        <w:rPr>
          <w:rFonts w:ascii="Helvetica" w:hAnsi="Helvetica" w:cstheme="minorHAnsi"/>
          <w:color w:val="212121"/>
          <w:spacing w:val="2"/>
        </w:rPr>
      </w:pPr>
      <w:r w:rsidRPr="00A435F3">
        <w:rPr>
          <w:rFonts w:ascii="Helvetica" w:hAnsi="Helvetica" w:cstheme="minorHAnsi"/>
          <w:color w:val="212121"/>
          <w:spacing w:val="2"/>
          <w:bdr w:val="none" w:sz="0" w:space="0" w:color="auto" w:frame="1"/>
        </w:rPr>
        <w:lastRenderedPageBreak/>
        <w:t xml:space="preserve">Manias, E., </w:t>
      </w:r>
      <w:proofErr w:type="spellStart"/>
      <w:r w:rsidRPr="00A435F3">
        <w:rPr>
          <w:rFonts w:ascii="Helvetica" w:hAnsi="Helvetica" w:cstheme="minorHAnsi"/>
          <w:color w:val="212121"/>
          <w:spacing w:val="2"/>
          <w:bdr w:val="none" w:sz="0" w:space="0" w:color="auto" w:frame="1"/>
        </w:rPr>
        <w:t>Kusljic</w:t>
      </w:r>
      <w:proofErr w:type="spellEnd"/>
      <w:r w:rsidRPr="00A435F3">
        <w:rPr>
          <w:rFonts w:ascii="Helvetica" w:hAnsi="Helvetica" w:cstheme="minorHAnsi"/>
          <w:color w:val="212121"/>
          <w:spacing w:val="2"/>
          <w:bdr w:val="none" w:sz="0" w:space="0" w:color="auto" w:frame="1"/>
        </w:rPr>
        <w:t>, S., &amp; Wu, A. (2020). Interventions to reduce medication errors in adult medical and surgical settings: A systematic review. </w:t>
      </w:r>
      <w:r w:rsidRPr="00A435F3">
        <w:rPr>
          <w:rStyle w:val="Emphasis"/>
          <w:rFonts w:ascii="Helvetica" w:hAnsi="Helvetica" w:cstheme="minorHAnsi"/>
          <w:color w:val="212121"/>
          <w:spacing w:val="2"/>
          <w:bdr w:val="none" w:sz="0" w:space="0" w:color="auto" w:frame="1"/>
        </w:rPr>
        <w:t>Therapeutic Advances in Drug Safety, 11</w:t>
      </w:r>
      <w:r w:rsidRPr="00A435F3">
        <w:rPr>
          <w:rFonts w:ascii="Helvetica" w:hAnsi="Helvetica" w:cstheme="minorHAnsi"/>
          <w:color w:val="212121"/>
          <w:spacing w:val="2"/>
          <w:bdr w:val="none" w:sz="0" w:space="0" w:color="auto" w:frame="1"/>
        </w:rPr>
        <w:t>, 1–29. </w:t>
      </w:r>
      <w:hyperlink r:id="rId9" w:tgtFrame="_blank" w:history="1">
        <w:r w:rsidRPr="00A435F3">
          <w:rPr>
            <w:rStyle w:val="Hyperlink"/>
            <w:rFonts w:ascii="Helvetica" w:hAnsi="Helvetica" w:cstheme="minorHAnsi"/>
            <w:color w:val="1A65B0"/>
            <w:spacing w:val="2"/>
            <w:bdr w:val="none" w:sz="0" w:space="0" w:color="auto" w:frame="1"/>
          </w:rPr>
          <w:t>https://doi.org/10.1177/2042098620968309</w:t>
        </w:r>
      </w:hyperlink>
    </w:p>
    <w:p w:rsidR="00B72657" w:rsidRPr="00A435F3" w:rsidRDefault="00B72657">
      <w:pPr>
        <w:rPr>
          <w:rFonts w:ascii="Helvetica" w:hAnsi="Helvetica" w:cstheme="minorHAnsi"/>
        </w:rPr>
      </w:pPr>
    </w:p>
    <w:sectPr w:rsidR="00B72657" w:rsidRPr="00A43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F3"/>
    <w:rsid w:val="006451FF"/>
    <w:rsid w:val="00A435F3"/>
    <w:rsid w:val="00B7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24C60B"/>
  <w15:chartTrackingRefBased/>
  <w15:docId w15:val="{AC7EB436-18B0-B244-8421-F20D8FC1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35F3"/>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435F3"/>
    <w:rPr>
      <w:i/>
      <w:iCs/>
    </w:rPr>
  </w:style>
  <w:style w:type="character" w:styleId="HTMLCode">
    <w:name w:val="HTML Code"/>
    <w:basedOn w:val="DefaultParagraphFont"/>
    <w:uiPriority w:val="99"/>
    <w:semiHidden/>
    <w:unhideWhenUsed/>
    <w:rsid w:val="00A435F3"/>
    <w:rPr>
      <w:rFonts w:ascii="Courier New" w:eastAsia="Times New Roman" w:hAnsi="Courier New" w:cs="Courier New"/>
      <w:sz w:val="20"/>
      <w:szCs w:val="20"/>
    </w:rPr>
  </w:style>
  <w:style w:type="character" w:styleId="Hyperlink">
    <w:name w:val="Hyperlink"/>
    <w:basedOn w:val="DefaultParagraphFont"/>
    <w:uiPriority w:val="99"/>
    <w:semiHidden/>
    <w:unhideWhenUsed/>
    <w:rsid w:val="00A435F3"/>
    <w:rPr>
      <w:color w:val="0000FF"/>
      <w:u w:val="single"/>
    </w:rPr>
  </w:style>
  <w:style w:type="character" w:styleId="Strong">
    <w:name w:val="Strong"/>
    <w:basedOn w:val="DefaultParagraphFont"/>
    <w:uiPriority w:val="22"/>
    <w:qFormat/>
    <w:rsid w:val="00A435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125147">
      <w:bodyDiv w:val="1"/>
      <w:marLeft w:val="0"/>
      <w:marRight w:val="0"/>
      <w:marTop w:val="0"/>
      <w:marBottom w:val="0"/>
      <w:divBdr>
        <w:top w:val="none" w:sz="0" w:space="0" w:color="auto"/>
        <w:left w:val="none" w:sz="0" w:space="0" w:color="auto"/>
        <w:bottom w:val="none" w:sz="0" w:space="0" w:color="auto"/>
        <w:right w:val="none" w:sz="0" w:space="0" w:color="auto"/>
      </w:divBdr>
    </w:div>
    <w:div w:id="206579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1/jamainternmed.2014.1608" TargetMode="External"/><Relationship Id="rId3" Type="http://schemas.openxmlformats.org/officeDocument/2006/relationships/webSettings" Target="webSettings.xml"/><Relationship Id="rId7" Type="http://schemas.openxmlformats.org/officeDocument/2006/relationships/hyperlink" Target="https://doi.org/10.1001/jamanetworkopen.2020.2588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jcjq.2020.09.010%5d(https:/doi.org/10.1016/j.jcjq.2020.09.010)" TargetMode="External"/><Relationship Id="rId11" Type="http://schemas.openxmlformats.org/officeDocument/2006/relationships/theme" Target="theme/theme1.xml"/><Relationship Id="rId5" Type="http://schemas.openxmlformats.org/officeDocument/2006/relationships/hyperlink" Target="https://www.bing.com/search?q=%22https%3A%2F%2Fdoi.org%2F10.1016%2Fj.ijnurstu.2021.103933" TargetMode="External"/><Relationship Id="rId10" Type="http://schemas.openxmlformats.org/officeDocument/2006/relationships/fontTable" Target="fontTable.xml"/><Relationship Id="rId4" Type="http://schemas.openxmlformats.org/officeDocument/2006/relationships/hyperlink" Target="http://doi.org/" TargetMode="External"/><Relationship Id="rId9" Type="http://schemas.openxmlformats.org/officeDocument/2006/relationships/hyperlink" Target="https://doi.org/10.1177/2042098620968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873</Words>
  <Characters>4977</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2026-06-18T09:19:00Z</dcterms:created>
  <dcterms:modified xsi:type="dcterms:W3CDTF">2026-06-18T09:27:00Z</dcterms:modified>
</cp:coreProperties>
</file>